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eastAsia="Times New Roman" w:cs="Calibri" w:cstheme="minorHAnsi"/>
          <w:b/>
          <w:b/>
          <w:bCs/>
          <w:sz w:val="28"/>
          <w:szCs w:val="28"/>
          <w:lang w:eastAsia="cs-CZ"/>
        </w:rPr>
      </w:pPr>
      <w:r>
        <w:rPr>
          <w:rFonts w:eastAsia="Times New Roman" w:cs="Calibri" w:cstheme="minorHAnsi"/>
          <w:b/>
          <w:bCs/>
          <w:sz w:val="28"/>
          <w:szCs w:val="28"/>
          <w:lang w:eastAsia="cs-CZ"/>
        </w:rPr>
        <w:t>INFORMACE PRO VOLIČE</w:t>
      </w:r>
    </w:p>
    <w:p>
      <w:pPr>
        <w:pStyle w:val="Normal"/>
        <w:spacing w:lineRule="auto" w:line="240"/>
        <w:jc w:val="both"/>
        <w:rPr>
          <w:rFonts w:eastAsia="Times New Roman" w:cs="Calibri" w:cstheme="minorHAnsi"/>
          <w:bCs/>
          <w:sz w:val="28"/>
          <w:szCs w:val="28"/>
          <w:lang w:eastAsia="cs-CZ"/>
        </w:rPr>
      </w:pPr>
      <w:r>
        <w:rPr>
          <w:rFonts w:eastAsia="Times New Roman" w:cs="Calibri" w:cstheme="minorHAnsi"/>
          <w:bCs/>
          <w:sz w:val="28"/>
          <w:szCs w:val="28"/>
          <w:lang w:eastAsia="cs-CZ"/>
        </w:rPr>
      </w:r>
    </w:p>
    <w:p>
      <w:pPr>
        <w:pStyle w:val="Normal"/>
        <w:spacing w:lineRule="auto" w:line="240"/>
        <w:jc w:val="both"/>
        <w:rPr>
          <w:rFonts w:eastAsia="Times New Roman" w:cs="Calibri" w:cstheme="minorHAnsi"/>
          <w:bCs/>
          <w:sz w:val="28"/>
          <w:szCs w:val="28"/>
          <w:lang w:eastAsia="cs-CZ"/>
        </w:rPr>
      </w:pPr>
      <w:r>
        <w:rPr>
          <w:rFonts w:eastAsia="Times New Roman" w:cs="Calibri" w:cstheme="minorHAnsi"/>
          <w:bCs/>
          <w:sz w:val="28"/>
          <w:szCs w:val="28"/>
          <w:lang w:eastAsia="cs-CZ"/>
        </w:rPr>
        <w:t>V souvislosti s konáním voleb do obecních zastupitelstev a voleb do Senátu Parlamentu ČR upozorňujeme voliče na povinnost prokázat po příchodu do volební místnosti svou totožnost a státní občanství ČR.</w:t>
      </w:r>
    </w:p>
    <w:p>
      <w:pPr>
        <w:pStyle w:val="Normal"/>
        <w:spacing w:lineRule="auto" w:line="240"/>
        <w:jc w:val="both"/>
        <w:rPr>
          <w:rFonts w:eastAsia="Times New Roman" w:cs="Calibri" w:cstheme="minorHAnsi"/>
          <w:b/>
          <w:b/>
          <w:bCs/>
          <w:sz w:val="28"/>
          <w:szCs w:val="28"/>
          <w:lang w:eastAsia="cs-CZ"/>
        </w:rPr>
      </w:pPr>
      <w:r>
        <w:rPr>
          <w:rFonts w:eastAsia="Times New Roman" w:cs="Calibri" w:cstheme="minorHAnsi"/>
          <w:b/>
          <w:bCs/>
          <w:sz w:val="28"/>
          <w:szCs w:val="28"/>
          <w:lang w:eastAsia="cs-CZ"/>
        </w:rPr>
        <w:t>Volič – státní občan ČR – prokáže totožnost a státní občanství následujícími doklady:</w:t>
      </w:r>
    </w:p>
    <w:p>
      <w:pPr>
        <w:pStyle w:val="Normal"/>
        <w:spacing w:lineRule="auto" w:line="240" w:before="0" w:after="0"/>
        <w:jc w:val="both"/>
        <w:rPr>
          <w:rFonts w:eastAsia="Times New Roman" w:cs="Calibri" w:cstheme="minorHAnsi"/>
          <w:b/>
          <w:b/>
          <w:bCs/>
          <w:sz w:val="28"/>
          <w:szCs w:val="28"/>
          <w:lang w:eastAsia="cs-CZ"/>
        </w:rPr>
      </w:pPr>
      <w:r>
        <w:rPr>
          <w:rFonts w:eastAsia="Times New Roman" w:cs="Calibri" w:cstheme="minorHAnsi"/>
          <w:b/>
          <w:bCs/>
          <w:sz w:val="28"/>
          <w:szCs w:val="28"/>
          <w:lang w:eastAsia="cs-CZ"/>
        </w:rPr>
        <w:t>Volby do zastupitelstva obce:</w:t>
      </w:r>
    </w:p>
    <w:p>
      <w:pPr>
        <w:pStyle w:val="Normal"/>
        <w:spacing w:lineRule="auto" w:line="240"/>
        <w:jc w:val="both"/>
        <w:rPr>
          <w:rFonts w:eastAsia="Times New Roman" w:cs="Calibri" w:cstheme="minorHAnsi"/>
          <w:bCs/>
          <w:sz w:val="28"/>
          <w:szCs w:val="28"/>
          <w:lang w:eastAsia="cs-CZ"/>
        </w:rPr>
      </w:pPr>
      <w:r>
        <w:rPr>
          <w:rFonts w:eastAsia="Times New Roman" w:cs="Calibri" w:cstheme="minorHAnsi"/>
          <w:bCs/>
          <w:sz w:val="28"/>
          <w:szCs w:val="28"/>
          <w:lang w:eastAsia="cs-CZ"/>
        </w:rPr>
        <w:t xml:space="preserve">Dle § 33 odst. 2 zákona č. 491/2001 Sb., o volbách do zastupitelstev obcí a o změně některých zákonů, ve znění pozdějších předpisů, je volič povinen prokázat svou totožnost a státní občanství platným </w:t>
      </w:r>
      <w:r>
        <w:rPr>
          <w:rFonts w:eastAsia="Times New Roman" w:cs="Calibri" w:cstheme="minorHAnsi"/>
          <w:bCs/>
          <w:sz w:val="28"/>
          <w:szCs w:val="28"/>
          <w:u w:val="single"/>
          <w:lang w:eastAsia="cs-CZ"/>
        </w:rPr>
        <w:t>občanským průkazem nebo cestovním pasem České republiky.</w:t>
      </w:r>
    </w:p>
    <w:p>
      <w:pPr>
        <w:pStyle w:val="Normal"/>
        <w:spacing w:lineRule="auto" w:line="240" w:before="0" w:after="0"/>
        <w:jc w:val="both"/>
        <w:rPr>
          <w:rFonts w:eastAsia="Times New Roman" w:cs="Calibri" w:cstheme="minorHAnsi"/>
          <w:b/>
          <w:b/>
          <w:bCs/>
          <w:sz w:val="28"/>
          <w:szCs w:val="28"/>
          <w:lang w:eastAsia="cs-CZ"/>
        </w:rPr>
      </w:pPr>
      <w:r>
        <w:rPr>
          <w:rFonts w:eastAsia="Times New Roman" w:cs="Calibri" w:cstheme="minorHAnsi"/>
          <w:b/>
          <w:bCs/>
          <w:sz w:val="28"/>
          <w:szCs w:val="28"/>
          <w:lang w:eastAsia="cs-CZ"/>
        </w:rPr>
        <w:t>Volby do Senátu Parlamentu ČR:</w:t>
      </w:r>
    </w:p>
    <w:p>
      <w:pPr>
        <w:pStyle w:val="Normal"/>
        <w:spacing w:lineRule="auto" w:line="240"/>
        <w:jc w:val="both"/>
        <w:rPr>
          <w:rFonts w:eastAsia="Times New Roman" w:cs="Calibri" w:cstheme="minorHAnsi"/>
          <w:bCs/>
          <w:sz w:val="28"/>
          <w:szCs w:val="28"/>
          <w:lang w:eastAsia="cs-CZ"/>
        </w:rPr>
      </w:pPr>
      <w:r>
        <w:rPr>
          <w:rFonts w:eastAsia="Times New Roman" w:cs="Calibri" w:cstheme="minorHAnsi"/>
          <w:bCs/>
          <w:sz w:val="28"/>
          <w:szCs w:val="28"/>
          <w:lang w:eastAsia="cs-CZ"/>
        </w:rPr>
        <w:t xml:space="preserve">Dle § 19 odst. 2 zákona č. 247/1995 Sb., o volbách do Parlamentu České republiky a o změně a doplnění některých dalších zákonů, ve znění pozdějších předpisů, je volič povinen prokázat svou totožnost a státní občanství platným </w:t>
      </w:r>
      <w:r>
        <w:rPr>
          <w:rFonts w:eastAsia="Times New Roman" w:cs="Calibri" w:cstheme="minorHAnsi"/>
          <w:bCs/>
          <w:sz w:val="28"/>
          <w:szCs w:val="28"/>
          <w:u w:val="single"/>
          <w:lang w:eastAsia="cs-CZ"/>
        </w:rPr>
        <w:t>cestovním, diplomatickým nebo služebním pasem České republiky anebo cestovním průkazem, nebo platným občanským průkazem.</w:t>
      </w:r>
    </w:p>
    <w:p>
      <w:pPr>
        <w:pStyle w:val="Normal"/>
        <w:spacing w:lineRule="auto" w:line="240"/>
        <w:jc w:val="both"/>
        <w:rPr>
          <w:rFonts w:cs="Calibri" w:cstheme="minorHAnsi"/>
          <w:sz w:val="28"/>
          <w:szCs w:val="28"/>
        </w:rPr>
      </w:pPr>
      <w:r>
        <w:rPr>
          <w:rFonts w:cs="Calibri" w:cstheme="minorHAnsi"/>
          <w:sz w:val="28"/>
          <w:szCs w:val="28"/>
        </w:rPr>
        <w:t>Jinými doklady totožnost a státní občanství pro účel výkonu volebního práva nelze prokázat (nelze akceptovat např. řidičský průkaz ani jiný doklad s osobními údaji).</w:t>
      </w:r>
    </w:p>
    <w:p>
      <w:pPr>
        <w:pStyle w:val="Normal"/>
        <w:spacing w:lineRule="auto" w:line="240"/>
        <w:jc w:val="both"/>
        <w:rPr>
          <w:rFonts w:cs="Calibri" w:cstheme="minorHAnsi"/>
          <w:b/>
          <w:b/>
          <w:sz w:val="28"/>
          <w:szCs w:val="28"/>
        </w:rPr>
      </w:pPr>
      <w:r>
        <w:rPr>
          <w:rFonts w:cs="Calibri" w:cstheme="minorHAnsi"/>
          <w:b/>
          <w:sz w:val="28"/>
          <w:szCs w:val="28"/>
        </w:rPr>
        <w:t>Pokud volič neprokáže svou totožnost a státní občanství nebude mu hlasování umožněno.</w:t>
      </w:r>
    </w:p>
    <w:p>
      <w:pPr>
        <w:pStyle w:val="Normal"/>
        <w:spacing w:lineRule="auto" w:line="240" w:before="0" w:after="0"/>
        <w:jc w:val="both"/>
        <w:rPr>
          <w:rFonts w:cs="Calibri" w:cstheme="minorHAnsi"/>
          <w:sz w:val="28"/>
          <w:szCs w:val="28"/>
        </w:rPr>
      </w:pPr>
      <w:r>
        <w:rPr>
          <w:rFonts w:cs="Calibri" w:cstheme="minorHAnsi"/>
          <w:sz w:val="28"/>
          <w:szCs w:val="28"/>
        </w:rPr>
        <w:t xml:space="preserve">Dle nového zákona o občanských průkazech č. 269/2021 Sb., který nabyl účinnosti dne 02.08.2021, již není možné vydávat pro účely výkonu volebního práva občanský průkaz s platností 1 měsíc (OP bez strojově čitelných údajů). </w:t>
      </w:r>
      <w:r>
        <w:rPr>
          <w:rFonts w:cs="Calibri" w:cstheme="minorHAnsi"/>
          <w:b/>
          <w:sz w:val="28"/>
          <w:szCs w:val="28"/>
        </w:rPr>
        <w:t>DOPORUČUJEME proto všem voličům, aby si zkontrolovali platnost svého občanského průkazu, případně cestovního pasu, a v případě potřeby si včas požádali o vydání nového dokladu.</w:t>
      </w:r>
      <w:bookmarkStart w:id="0" w:name="_GoBack"/>
      <w:bookmarkEnd w:id="0"/>
    </w:p>
    <w:p>
      <w:pPr>
        <w:pStyle w:val="Normal"/>
        <w:spacing w:lineRule="auto" w:line="240" w:before="0" w:after="0"/>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sz w:val="28"/>
          <w:szCs w:val="28"/>
        </w:rPr>
      </w:pPr>
      <w:r>
        <w:rPr>
          <w:rFonts w:cs="Calibri" w:cstheme="minorHAnsi"/>
          <w:sz w:val="28"/>
          <w:szCs w:val="28"/>
        </w:rPr>
        <w:t xml:space="preserve">Pro úplnost dodáváme, že ve volbách do zastupitelstev obcí může volit také státní občan jiného státu, jemuž právo volit přiznává mezinárodní úmluva (státní občané států EU), pokud splňuje další zákonné náležitosti. Totožnost a státní občanství prokáže volič – cizinec platným průkazem o povolení k pobytu nebo potvrzením o přechodném pobytu.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LibreOffice/7.0.2.2$Windows_X86_64 LibreOffice_project/8349ace3c3162073abd90d81fd06dcfb6b36b994</Application>
  <Pages>1</Pages>
  <Words>288</Words>
  <Characters>1677</Characters>
  <CharactersWithSpaces>1958</CharactersWithSpaces>
  <Paragraphs>11</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2022-07-20T07:04:00Z</dcterms:created>
  <dc:creator>Procházková Ludmila</dc:creator>
  <dc:description/>
  <dc:language>cs-CZ</dc:language>
  <cp:lastModifiedBy>Procházková Ludmila</cp:lastModifiedBy>
  <cp:lastPrinted>2022-07-22T13:36:43Z</cp:lastPrinted>
  <dcterms:modified xsi:type="dcterms:W3CDTF">2022-07-20T07:48:00Z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